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B8EA3" w14:textId="77777777" w:rsidR="00832C4C" w:rsidRDefault="00832C4C" w:rsidP="00832C4C">
      <w:pPr>
        <w:pStyle w:val="1"/>
        <w:bidi w:val="0"/>
        <w:rPr>
          <w:b/>
          <w:bCs/>
          <w:sz w:val="44"/>
          <w:szCs w:val="44"/>
        </w:rPr>
      </w:pPr>
      <w:r w:rsidRPr="00832C4C">
        <w:rPr>
          <w:b/>
          <w:bCs/>
          <w:sz w:val="44"/>
          <w:szCs w:val="44"/>
        </w:rPr>
        <w:t xml:space="preserve">Inland 19 Vacuum Pump Oil </w:t>
      </w:r>
    </w:p>
    <w:p w14:paraId="5D402C51" w14:textId="77777777" w:rsidR="0047393F" w:rsidRPr="0047393F" w:rsidRDefault="0047393F" w:rsidP="0047393F">
      <w:pPr>
        <w:bidi w:val="0"/>
      </w:pPr>
    </w:p>
    <w:p w14:paraId="125B6228" w14:textId="22AAE33C" w:rsidR="002E2D45" w:rsidRPr="00832C4C" w:rsidRDefault="002E2D45" w:rsidP="00832C4C">
      <w:pPr>
        <w:bidi w:val="0"/>
        <w:spacing w:after="0" w:line="240" w:lineRule="auto"/>
        <w:outlineLvl w:val="1"/>
        <w:rPr>
          <w:rFonts w:asciiTheme="minorBidi" w:eastAsia="Times New Roman" w:hAnsiTheme="minorBidi"/>
          <w:b/>
          <w:bCs/>
          <w:kern w:val="0"/>
          <w:sz w:val="24"/>
          <w:szCs w:val="24"/>
          <w:rtl/>
          <w:lang w:val="en-IL" w:eastAsia="en-IL"/>
          <w14:ligatures w14:val="none"/>
        </w:rPr>
      </w:pPr>
      <w:r w:rsidRPr="00832C4C">
        <w:rPr>
          <w:rFonts w:asciiTheme="minorBidi" w:eastAsia="Times New Roman" w:hAnsiTheme="minorBidi"/>
          <w:b/>
          <w:bCs/>
          <w:kern w:val="0"/>
          <w:sz w:val="24"/>
          <w:szCs w:val="24"/>
          <w:lang w:val="en-IL" w:eastAsia="en-IL"/>
          <w14:ligatures w14:val="none"/>
        </w:rPr>
        <w:t>Description</w:t>
      </w:r>
      <w:r w:rsidR="00832C4C">
        <w:rPr>
          <w:rFonts w:asciiTheme="minorBidi" w:eastAsia="Times New Roman" w:hAnsiTheme="minorBidi"/>
          <w:b/>
          <w:bCs/>
          <w:kern w:val="0"/>
          <w:sz w:val="24"/>
          <w:szCs w:val="24"/>
          <w:lang w:val="en-IL" w:eastAsia="en-IL"/>
          <w14:ligatures w14:val="none"/>
        </w:rPr>
        <w:t>:</w:t>
      </w:r>
    </w:p>
    <w:p w14:paraId="350DDACC" w14:textId="77777777" w:rsidR="002E2D45" w:rsidRPr="002E2D45" w:rsidRDefault="002E2D45" w:rsidP="002E2D45">
      <w:pPr>
        <w:bidi w:val="0"/>
        <w:spacing w:after="0" w:line="240" w:lineRule="auto"/>
        <w:rPr>
          <w:rFonts w:asciiTheme="minorBidi" w:eastAsia="Times New Roman" w:hAnsiTheme="minorBidi"/>
          <w:color w:val="000000"/>
          <w:kern w:val="0"/>
          <w:lang w:val="en-IL" w:eastAsia="en-IL"/>
          <w14:ligatures w14:val="none"/>
        </w:rPr>
      </w:pPr>
      <w:r w:rsidRPr="002E2D45">
        <w:rPr>
          <w:rFonts w:asciiTheme="minorBidi" w:eastAsia="Times New Roman" w:hAnsiTheme="minorBidi"/>
          <w:color w:val="000000"/>
          <w:kern w:val="0"/>
          <w:lang w:val="en-IL" w:eastAsia="en-IL"/>
          <w14:ligatures w14:val="none"/>
        </w:rPr>
        <w:t xml:space="preserve">Inland 19 pump oil is ideal for use in all models of rough vacuum pumps including Alcatel, Edwards, and </w:t>
      </w:r>
      <w:hyperlink r:id="rId5" w:history="1">
        <w:r w:rsidRPr="002E2D45">
          <w:rPr>
            <w:rFonts w:asciiTheme="minorBidi" w:eastAsia="Times New Roman" w:hAnsiTheme="minorBidi"/>
            <w:color w:val="0000FF"/>
            <w:kern w:val="0"/>
            <w:u w:val="single"/>
            <w:lang w:val="en-IL" w:eastAsia="en-IL"/>
            <w14:ligatures w14:val="none"/>
          </w:rPr>
          <w:t>Welch</w:t>
        </w:r>
      </w:hyperlink>
      <w:r w:rsidRPr="002E2D45">
        <w:rPr>
          <w:rFonts w:asciiTheme="minorBidi" w:eastAsia="Times New Roman" w:hAnsiTheme="minorBidi"/>
          <w:color w:val="000000"/>
          <w:kern w:val="0"/>
          <w:lang w:val="en-IL" w:eastAsia="en-IL"/>
          <w14:ligatures w14:val="none"/>
        </w:rPr>
        <w:t>. Inland 19 utilizes crude stocks known for their durability and fine lubricating qualities.</w:t>
      </w:r>
    </w:p>
    <w:p w14:paraId="6F8F81FF"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Inland 19 Pump Oil is an ideal general purpose hydrocarbon fluid for mechanical vacuum pumps used in non-corrosive applications. The manufacturing process of Inland 19 includes molecular distillation, which removes light end fractions present in the fluid.</w:t>
      </w:r>
    </w:p>
    <w:p w14:paraId="241BE005" w14:textId="77777777" w:rsidR="002E2D45" w:rsidRDefault="002E2D45" w:rsidP="002E2D45">
      <w:pPr>
        <w:bidi w:val="0"/>
        <w:spacing w:after="0" w:line="240" w:lineRule="auto"/>
        <w:outlineLvl w:val="3"/>
        <w:rPr>
          <w:rFonts w:asciiTheme="minorBidi" w:eastAsia="Times New Roman" w:hAnsiTheme="minorBidi"/>
          <w:b/>
          <w:bCs/>
          <w:kern w:val="0"/>
          <w:lang w:val="en-IL" w:eastAsia="en-IL"/>
          <w14:ligatures w14:val="none"/>
        </w:rPr>
      </w:pPr>
    </w:p>
    <w:p w14:paraId="6F7B152F" w14:textId="31EE756F" w:rsidR="002E2D45" w:rsidRPr="00832C4C" w:rsidRDefault="002E2D45" w:rsidP="002E2D45">
      <w:pPr>
        <w:bidi w:val="0"/>
        <w:spacing w:after="0" w:line="240" w:lineRule="auto"/>
        <w:outlineLvl w:val="3"/>
        <w:rPr>
          <w:rFonts w:asciiTheme="minorBidi" w:eastAsia="Times New Roman" w:hAnsiTheme="minorBidi"/>
          <w:b/>
          <w:bCs/>
          <w:kern w:val="0"/>
          <w:sz w:val="24"/>
          <w:szCs w:val="24"/>
          <w:lang w:val="en-IL" w:eastAsia="en-IL"/>
          <w14:ligatures w14:val="none"/>
        </w:rPr>
      </w:pPr>
      <w:r w:rsidRPr="00832C4C">
        <w:rPr>
          <w:rFonts w:asciiTheme="minorBidi" w:eastAsia="Times New Roman" w:hAnsiTheme="minorBidi"/>
          <w:b/>
          <w:bCs/>
          <w:kern w:val="0"/>
          <w:sz w:val="24"/>
          <w:szCs w:val="24"/>
          <w:lang w:val="en-IL" w:eastAsia="en-IL"/>
          <w14:ligatures w14:val="none"/>
        </w:rPr>
        <w:t>Beneficial Features:</w:t>
      </w:r>
    </w:p>
    <w:p w14:paraId="5FE8AE86" w14:textId="77777777" w:rsidR="002E2D45" w:rsidRPr="002E2D45" w:rsidRDefault="002E2D45" w:rsidP="002E2D45">
      <w:pPr>
        <w:numPr>
          <w:ilvl w:val="0"/>
          <w:numId w:val="1"/>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Vapor Pressure at 25 °C: 1 x 10-5 Torr</w:t>
      </w:r>
    </w:p>
    <w:p w14:paraId="7C7C2DA8" w14:textId="77777777" w:rsidR="002E2D45" w:rsidRPr="002E2D45" w:rsidRDefault="002E2D45" w:rsidP="002E2D45">
      <w:pPr>
        <w:numPr>
          <w:ilvl w:val="0"/>
          <w:numId w:val="1"/>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Boiling Point at .01 Torr: 112 °C (234 degrees F)</w:t>
      </w:r>
    </w:p>
    <w:p w14:paraId="42F08436" w14:textId="77777777" w:rsidR="002E2D45" w:rsidRPr="002E2D45" w:rsidRDefault="002E2D45" w:rsidP="002E2D45">
      <w:pPr>
        <w:numPr>
          <w:ilvl w:val="0"/>
          <w:numId w:val="1"/>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Viscosity at 40 °C: 55 cst (251 SUS)</w:t>
      </w:r>
    </w:p>
    <w:p w14:paraId="200CE0F6" w14:textId="77777777" w:rsidR="002E2D45" w:rsidRPr="002E2D45" w:rsidRDefault="002E2D45" w:rsidP="002E2D45">
      <w:pPr>
        <w:numPr>
          <w:ilvl w:val="0"/>
          <w:numId w:val="1"/>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Lower vapor pressures</w:t>
      </w:r>
    </w:p>
    <w:p w14:paraId="291F12F0" w14:textId="77777777" w:rsidR="002E2D45" w:rsidRPr="002E2D45" w:rsidRDefault="002E2D45" w:rsidP="002E2D45">
      <w:pPr>
        <w:numPr>
          <w:ilvl w:val="0"/>
          <w:numId w:val="1"/>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Reduced backstreaming</w:t>
      </w:r>
    </w:p>
    <w:p w14:paraId="2826454D" w14:textId="77777777" w:rsidR="002E2D45" w:rsidRPr="002E2D45" w:rsidRDefault="002E2D45" w:rsidP="002E2D45">
      <w:pPr>
        <w:numPr>
          <w:ilvl w:val="0"/>
          <w:numId w:val="1"/>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Longer fluid life</w:t>
      </w:r>
    </w:p>
    <w:p w14:paraId="5F3D52B8" w14:textId="77777777" w:rsidR="002E2D45" w:rsidRPr="002E2D45" w:rsidRDefault="002E2D45" w:rsidP="002E2D45">
      <w:pPr>
        <w:numPr>
          <w:ilvl w:val="0"/>
          <w:numId w:val="1"/>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Can be used within the same applications as more expensive diffusion pump oils which could be contaminated by a vacuum oil of lower grade</w:t>
      </w:r>
    </w:p>
    <w:p w14:paraId="4E9B3C14"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A durable, long-lasting mechanical pump fluid, Inland 19 is cost-effective in vacuum applications such as mass spectrometers, electron microscopes, thin film sputtering, UHV systems, and freeze dry systems. Proper use of this oil effects reduced maintenance costs, improved pumping cycles, and a cleaner vacuum system.</w:t>
      </w:r>
    </w:p>
    <w:p w14:paraId="345C9FF0" w14:textId="77777777" w:rsid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Inland 19 replaces Inland 15 which has been discontinued by the manufacturer. Inland 19 will provide a decade improvement in pumping efficiency over Inland 15.</w:t>
      </w:r>
    </w:p>
    <w:p w14:paraId="451F91CE"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89"/>
        <w:gridCol w:w="1909"/>
      </w:tblGrid>
      <w:tr w:rsidR="002E2D45" w:rsidRPr="002E2D45" w14:paraId="32A8EF23" w14:textId="77777777" w:rsidTr="002E2D45">
        <w:trPr>
          <w:tblHeader/>
          <w:tblCellSpacing w:w="15" w:type="dxa"/>
        </w:trPr>
        <w:tc>
          <w:tcPr>
            <w:tcW w:w="3144" w:type="dxa"/>
            <w:vAlign w:val="center"/>
            <w:hideMark/>
          </w:tcPr>
          <w:p w14:paraId="60707767" w14:textId="77777777" w:rsidR="002E2D45" w:rsidRPr="002E2D45" w:rsidRDefault="002E2D45" w:rsidP="002E2D45">
            <w:pPr>
              <w:bidi w:val="0"/>
              <w:spacing w:after="0" w:line="240" w:lineRule="auto"/>
              <w:jc w:val="center"/>
              <w:rPr>
                <w:rFonts w:asciiTheme="minorBidi" w:eastAsia="Times New Roman" w:hAnsiTheme="minorBidi"/>
                <w:b/>
                <w:bCs/>
                <w:kern w:val="0"/>
                <w:lang w:val="en-IL" w:eastAsia="en-IL"/>
                <w14:ligatures w14:val="none"/>
              </w:rPr>
            </w:pPr>
            <w:r w:rsidRPr="002E2D45">
              <w:rPr>
                <w:rFonts w:asciiTheme="minorBidi" w:eastAsia="Times New Roman" w:hAnsiTheme="minorBidi"/>
                <w:b/>
                <w:bCs/>
                <w:kern w:val="0"/>
                <w:lang w:val="en-IL" w:eastAsia="en-IL"/>
                <w14:ligatures w14:val="none"/>
              </w:rPr>
              <w:t>Specification</w:t>
            </w:r>
          </w:p>
        </w:tc>
        <w:tc>
          <w:tcPr>
            <w:tcW w:w="1864" w:type="dxa"/>
            <w:vAlign w:val="center"/>
            <w:hideMark/>
          </w:tcPr>
          <w:p w14:paraId="55A1939E" w14:textId="77777777" w:rsidR="002E2D45" w:rsidRPr="002E2D45" w:rsidRDefault="002E2D45" w:rsidP="002E2D45">
            <w:pPr>
              <w:bidi w:val="0"/>
              <w:spacing w:after="0" w:line="240" w:lineRule="auto"/>
              <w:jc w:val="center"/>
              <w:rPr>
                <w:rFonts w:asciiTheme="minorBidi" w:eastAsia="Times New Roman" w:hAnsiTheme="minorBidi"/>
                <w:b/>
                <w:bCs/>
                <w:kern w:val="0"/>
                <w:lang w:val="en-IL" w:eastAsia="en-IL"/>
                <w14:ligatures w14:val="none"/>
              </w:rPr>
            </w:pPr>
            <w:r w:rsidRPr="002E2D45">
              <w:rPr>
                <w:rFonts w:asciiTheme="minorBidi" w:eastAsia="Times New Roman" w:hAnsiTheme="minorBidi"/>
                <w:b/>
                <w:bCs/>
                <w:kern w:val="0"/>
                <w:lang w:val="en-IL" w:eastAsia="en-IL"/>
                <w14:ligatures w14:val="none"/>
              </w:rPr>
              <w:t>Inland 19</w:t>
            </w:r>
          </w:p>
        </w:tc>
      </w:tr>
      <w:tr w:rsidR="002E2D45" w:rsidRPr="002E2D45" w14:paraId="2D744D3A" w14:textId="77777777" w:rsidTr="002E2D45">
        <w:trPr>
          <w:tblCellSpacing w:w="15" w:type="dxa"/>
        </w:trPr>
        <w:tc>
          <w:tcPr>
            <w:tcW w:w="3144" w:type="dxa"/>
            <w:vAlign w:val="center"/>
            <w:hideMark/>
          </w:tcPr>
          <w:p w14:paraId="15EAEA48"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Vapor Pressure at 25ºC</w:t>
            </w:r>
          </w:p>
        </w:tc>
        <w:tc>
          <w:tcPr>
            <w:tcW w:w="1864" w:type="dxa"/>
            <w:vAlign w:val="center"/>
            <w:hideMark/>
          </w:tcPr>
          <w:p w14:paraId="702A9A74" w14:textId="77777777" w:rsidR="002E2D45" w:rsidRPr="002E2D45" w:rsidRDefault="002E2D45" w:rsidP="002E2D45">
            <w:pPr>
              <w:bidi w:val="0"/>
              <w:spacing w:after="0" w:line="240" w:lineRule="auto"/>
              <w:jc w:val="center"/>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1 x 10-5 Torr</w:t>
            </w:r>
          </w:p>
        </w:tc>
      </w:tr>
      <w:tr w:rsidR="002E2D45" w:rsidRPr="002E2D45" w14:paraId="068DDE0F" w14:textId="77777777" w:rsidTr="002E2D45">
        <w:trPr>
          <w:tblCellSpacing w:w="15" w:type="dxa"/>
        </w:trPr>
        <w:tc>
          <w:tcPr>
            <w:tcW w:w="3144" w:type="dxa"/>
            <w:vAlign w:val="center"/>
            <w:hideMark/>
          </w:tcPr>
          <w:p w14:paraId="61C371ED"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Boiling Point at .01 Torr (ºC)</w:t>
            </w:r>
          </w:p>
        </w:tc>
        <w:tc>
          <w:tcPr>
            <w:tcW w:w="1864" w:type="dxa"/>
            <w:vAlign w:val="center"/>
            <w:hideMark/>
          </w:tcPr>
          <w:p w14:paraId="21F6725B" w14:textId="77777777" w:rsidR="002E2D45" w:rsidRPr="002E2D45" w:rsidRDefault="002E2D45" w:rsidP="002E2D45">
            <w:pPr>
              <w:bidi w:val="0"/>
              <w:spacing w:after="0" w:line="240" w:lineRule="auto"/>
              <w:jc w:val="center"/>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112</w:t>
            </w:r>
          </w:p>
        </w:tc>
      </w:tr>
      <w:tr w:rsidR="002E2D45" w:rsidRPr="002E2D45" w14:paraId="65BB762A" w14:textId="77777777" w:rsidTr="002E2D45">
        <w:trPr>
          <w:tblCellSpacing w:w="15" w:type="dxa"/>
        </w:trPr>
        <w:tc>
          <w:tcPr>
            <w:tcW w:w="3144" w:type="dxa"/>
            <w:vAlign w:val="center"/>
            <w:hideMark/>
          </w:tcPr>
          <w:p w14:paraId="0B8CA67E"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Viscosity at 40ºC (cSt)</w:t>
            </w:r>
          </w:p>
        </w:tc>
        <w:tc>
          <w:tcPr>
            <w:tcW w:w="1864" w:type="dxa"/>
            <w:vAlign w:val="center"/>
            <w:hideMark/>
          </w:tcPr>
          <w:p w14:paraId="2DDBD65D" w14:textId="77777777" w:rsidR="002E2D45" w:rsidRPr="002E2D45" w:rsidRDefault="002E2D45" w:rsidP="002E2D45">
            <w:pPr>
              <w:bidi w:val="0"/>
              <w:spacing w:after="0" w:line="240" w:lineRule="auto"/>
              <w:jc w:val="center"/>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55</w:t>
            </w:r>
          </w:p>
        </w:tc>
      </w:tr>
      <w:tr w:rsidR="002E2D45" w:rsidRPr="002E2D45" w14:paraId="1D36E27C" w14:textId="77777777" w:rsidTr="002E2D45">
        <w:trPr>
          <w:tblCellSpacing w:w="15" w:type="dxa"/>
        </w:trPr>
        <w:tc>
          <w:tcPr>
            <w:tcW w:w="3144" w:type="dxa"/>
            <w:vAlign w:val="center"/>
            <w:hideMark/>
          </w:tcPr>
          <w:p w14:paraId="63B114EE"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Pour Point (ºC)</w:t>
            </w:r>
          </w:p>
        </w:tc>
        <w:tc>
          <w:tcPr>
            <w:tcW w:w="1864" w:type="dxa"/>
            <w:vAlign w:val="center"/>
            <w:hideMark/>
          </w:tcPr>
          <w:p w14:paraId="1B7CC8FA" w14:textId="77777777" w:rsidR="002E2D45" w:rsidRPr="002E2D45" w:rsidRDefault="002E2D45" w:rsidP="002E2D45">
            <w:pPr>
              <w:bidi w:val="0"/>
              <w:spacing w:after="0" w:line="240" w:lineRule="auto"/>
              <w:jc w:val="center"/>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-15</w:t>
            </w:r>
          </w:p>
        </w:tc>
      </w:tr>
      <w:tr w:rsidR="002E2D45" w:rsidRPr="002E2D45" w14:paraId="699262E1" w14:textId="77777777" w:rsidTr="002E2D45">
        <w:trPr>
          <w:tblCellSpacing w:w="15" w:type="dxa"/>
        </w:trPr>
        <w:tc>
          <w:tcPr>
            <w:tcW w:w="3144" w:type="dxa"/>
            <w:vAlign w:val="center"/>
            <w:hideMark/>
          </w:tcPr>
          <w:p w14:paraId="5D9B6358"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Flash Point (ºC)</w:t>
            </w:r>
          </w:p>
        </w:tc>
        <w:tc>
          <w:tcPr>
            <w:tcW w:w="1864" w:type="dxa"/>
            <w:vAlign w:val="center"/>
            <w:hideMark/>
          </w:tcPr>
          <w:p w14:paraId="2D3F1EEE" w14:textId="77777777" w:rsidR="002E2D45" w:rsidRPr="002E2D45" w:rsidRDefault="002E2D45" w:rsidP="002E2D45">
            <w:pPr>
              <w:bidi w:val="0"/>
              <w:spacing w:after="0" w:line="240" w:lineRule="auto"/>
              <w:jc w:val="center"/>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213</w:t>
            </w:r>
          </w:p>
        </w:tc>
      </w:tr>
      <w:tr w:rsidR="002E2D45" w:rsidRPr="002E2D45" w14:paraId="3C097308" w14:textId="77777777" w:rsidTr="002E2D45">
        <w:trPr>
          <w:tblCellSpacing w:w="15" w:type="dxa"/>
        </w:trPr>
        <w:tc>
          <w:tcPr>
            <w:tcW w:w="3144" w:type="dxa"/>
            <w:vAlign w:val="center"/>
            <w:hideMark/>
          </w:tcPr>
          <w:p w14:paraId="2FE84A73"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Fire Point (ºC)</w:t>
            </w:r>
          </w:p>
        </w:tc>
        <w:tc>
          <w:tcPr>
            <w:tcW w:w="1864" w:type="dxa"/>
            <w:vAlign w:val="center"/>
            <w:hideMark/>
          </w:tcPr>
          <w:p w14:paraId="7D7CE927" w14:textId="77777777" w:rsidR="002E2D45" w:rsidRPr="002E2D45" w:rsidRDefault="002E2D45" w:rsidP="002E2D45">
            <w:pPr>
              <w:bidi w:val="0"/>
              <w:spacing w:after="0" w:line="240" w:lineRule="auto"/>
              <w:jc w:val="center"/>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244</w:t>
            </w:r>
          </w:p>
        </w:tc>
      </w:tr>
      <w:tr w:rsidR="002E2D45" w:rsidRPr="002E2D45" w14:paraId="5CBF145D" w14:textId="77777777" w:rsidTr="002E2D45">
        <w:trPr>
          <w:tblCellSpacing w:w="15" w:type="dxa"/>
        </w:trPr>
        <w:tc>
          <w:tcPr>
            <w:tcW w:w="3144" w:type="dxa"/>
            <w:vAlign w:val="center"/>
            <w:hideMark/>
          </w:tcPr>
          <w:p w14:paraId="518EC91B"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Density at 25ºC (g/ml)</w:t>
            </w:r>
          </w:p>
        </w:tc>
        <w:tc>
          <w:tcPr>
            <w:tcW w:w="1864" w:type="dxa"/>
            <w:vAlign w:val="center"/>
            <w:hideMark/>
          </w:tcPr>
          <w:p w14:paraId="6DC5EA6C" w14:textId="77777777" w:rsidR="002E2D45" w:rsidRPr="002E2D45" w:rsidRDefault="002E2D45" w:rsidP="002E2D45">
            <w:pPr>
              <w:bidi w:val="0"/>
              <w:spacing w:after="0" w:line="240" w:lineRule="auto"/>
              <w:jc w:val="center"/>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0.87</w:t>
            </w:r>
          </w:p>
        </w:tc>
      </w:tr>
    </w:tbl>
    <w:p w14:paraId="3BF49B16" w14:textId="77777777" w:rsidR="002E2D45" w:rsidRDefault="002E2D45" w:rsidP="002E2D45">
      <w:pPr>
        <w:bidi w:val="0"/>
        <w:spacing w:after="0" w:line="240" w:lineRule="auto"/>
        <w:outlineLvl w:val="3"/>
        <w:rPr>
          <w:rFonts w:asciiTheme="minorBidi" w:eastAsia="Times New Roman" w:hAnsiTheme="minorBidi"/>
          <w:b/>
          <w:bCs/>
          <w:kern w:val="0"/>
          <w:lang w:val="en-IL" w:eastAsia="en-IL"/>
          <w14:ligatures w14:val="none"/>
        </w:rPr>
      </w:pPr>
    </w:p>
    <w:p w14:paraId="297D199D" w14:textId="67297183" w:rsidR="002E2D45" w:rsidRPr="002E2D45" w:rsidRDefault="002E2D45" w:rsidP="002E2D45">
      <w:pPr>
        <w:bidi w:val="0"/>
        <w:spacing w:after="0" w:line="240" w:lineRule="auto"/>
        <w:outlineLvl w:val="3"/>
        <w:rPr>
          <w:rFonts w:asciiTheme="minorBidi" w:eastAsia="Times New Roman" w:hAnsiTheme="minorBidi"/>
          <w:b/>
          <w:bCs/>
          <w:kern w:val="0"/>
          <w:lang w:val="en-IL" w:eastAsia="en-IL"/>
          <w14:ligatures w14:val="none"/>
        </w:rPr>
      </w:pPr>
      <w:r w:rsidRPr="002E2D45">
        <w:rPr>
          <w:rFonts w:asciiTheme="minorBidi" w:eastAsia="Times New Roman" w:hAnsiTheme="minorBidi"/>
          <w:b/>
          <w:bCs/>
          <w:kern w:val="0"/>
          <w:lang w:val="en-IL" w:eastAsia="en-IL"/>
          <w14:ligatures w14:val="none"/>
        </w:rPr>
        <w:t>Vacuum Applications:</w:t>
      </w:r>
    </w:p>
    <w:p w14:paraId="3F4C701B" w14:textId="77777777" w:rsidR="002E2D45" w:rsidRPr="002E2D45" w:rsidRDefault="002E2D45" w:rsidP="002E2D45">
      <w:pPr>
        <w:numPr>
          <w:ilvl w:val="0"/>
          <w:numId w:val="2"/>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Mass spectrometry</w:t>
      </w:r>
    </w:p>
    <w:p w14:paraId="72758E01" w14:textId="77777777" w:rsidR="002E2D45" w:rsidRPr="002E2D45" w:rsidRDefault="002E2D45" w:rsidP="002E2D45">
      <w:pPr>
        <w:numPr>
          <w:ilvl w:val="0"/>
          <w:numId w:val="2"/>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Electron microscopy</w:t>
      </w:r>
    </w:p>
    <w:p w14:paraId="22D5A02B" w14:textId="77777777" w:rsidR="002E2D45" w:rsidRPr="002E2D45" w:rsidRDefault="002E2D45" w:rsidP="002E2D45">
      <w:pPr>
        <w:numPr>
          <w:ilvl w:val="0"/>
          <w:numId w:val="2"/>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Thin film sputtering</w:t>
      </w:r>
    </w:p>
    <w:p w14:paraId="786E695C" w14:textId="77777777" w:rsidR="002E2D45" w:rsidRPr="002E2D45" w:rsidRDefault="002E2D45" w:rsidP="002E2D45">
      <w:pPr>
        <w:numPr>
          <w:ilvl w:val="0"/>
          <w:numId w:val="2"/>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UHV systems</w:t>
      </w:r>
    </w:p>
    <w:p w14:paraId="3ECCE329" w14:textId="77777777" w:rsidR="002E2D45" w:rsidRPr="002E2D45" w:rsidRDefault="002E2D45" w:rsidP="002E2D45">
      <w:pPr>
        <w:numPr>
          <w:ilvl w:val="0"/>
          <w:numId w:val="2"/>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Freeze dry systems</w:t>
      </w:r>
    </w:p>
    <w:p w14:paraId="553375BC" w14:textId="77777777" w:rsidR="002E2D45" w:rsidRPr="002E2D45" w:rsidRDefault="002E2D45" w:rsidP="002E2D45">
      <w:pPr>
        <w:numPr>
          <w:ilvl w:val="0"/>
          <w:numId w:val="2"/>
        </w:numPr>
        <w:bidi w:val="0"/>
        <w:spacing w:after="0" w:line="240" w:lineRule="auto"/>
        <w:rPr>
          <w:rFonts w:asciiTheme="minorBidi" w:eastAsia="Times New Roman" w:hAnsiTheme="minorBidi"/>
          <w:kern w:val="0"/>
          <w:lang w:val="en-IL" w:eastAsia="en-IL"/>
          <w14:ligatures w14:val="none"/>
        </w:rPr>
      </w:pPr>
      <w:r w:rsidRPr="002E2D45">
        <w:rPr>
          <w:rFonts w:asciiTheme="minorBidi" w:eastAsia="Times New Roman" w:hAnsiTheme="minorBidi"/>
          <w:kern w:val="0"/>
          <w:lang w:val="en-IL" w:eastAsia="en-IL"/>
          <w14:ligatures w14:val="none"/>
        </w:rPr>
        <w:t>Other non-corrosive general applications</w:t>
      </w:r>
    </w:p>
    <w:p w14:paraId="779A1C32" w14:textId="77777777" w:rsidR="00EB190D" w:rsidRDefault="00EB190D"/>
    <w:sectPr w:rsidR="00EB190D" w:rsidSect="00832C4C">
      <w:pgSz w:w="11906" w:h="16838"/>
      <w:pgMar w:top="709"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42AC2"/>
    <w:multiLevelType w:val="multilevel"/>
    <w:tmpl w:val="2FEE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8F6FD6"/>
    <w:multiLevelType w:val="multilevel"/>
    <w:tmpl w:val="7970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758521">
    <w:abstractNumId w:val="1"/>
  </w:num>
  <w:num w:numId="2" w16cid:durableId="852957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45"/>
    <w:rsid w:val="00244AB8"/>
    <w:rsid w:val="002E2D45"/>
    <w:rsid w:val="0047393F"/>
    <w:rsid w:val="004F6652"/>
    <w:rsid w:val="00803169"/>
    <w:rsid w:val="00832C4C"/>
    <w:rsid w:val="009462B2"/>
    <w:rsid w:val="009B2BD4"/>
    <w:rsid w:val="00BE7104"/>
    <w:rsid w:val="00E4149D"/>
    <w:rsid w:val="00EB190D"/>
    <w:rsid w:val="00FA6E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10965"/>
  <w15:chartTrackingRefBased/>
  <w15:docId w15:val="{8213315F-29B6-4CAB-9D44-ADCAFC8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32C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E2D45"/>
    <w:pPr>
      <w:bidi w:val="0"/>
      <w:spacing w:before="100" w:beforeAutospacing="1" w:after="100" w:afterAutospacing="1" w:line="240" w:lineRule="auto"/>
      <w:outlineLvl w:val="1"/>
    </w:pPr>
    <w:rPr>
      <w:rFonts w:ascii="Times New Roman" w:eastAsia="Times New Roman" w:hAnsi="Times New Roman" w:cs="Times New Roman"/>
      <w:b/>
      <w:bCs/>
      <w:kern w:val="0"/>
      <w:sz w:val="36"/>
      <w:szCs w:val="36"/>
      <w:lang w:val="en-IL" w:eastAsia="en-IL"/>
      <w14:ligatures w14:val="none"/>
    </w:rPr>
  </w:style>
  <w:style w:type="paragraph" w:styleId="4">
    <w:name w:val="heading 4"/>
    <w:basedOn w:val="a"/>
    <w:link w:val="40"/>
    <w:uiPriority w:val="9"/>
    <w:qFormat/>
    <w:rsid w:val="002E2D45"/>
    <w:pPr>
      <w:bidi w:val="0"/>
      <w:spacing w:before="100" w:beforeAutospacing="1" w:after="100" w:afterAutospacing="1" w:line="240" w:lineRule="auto"/>
      <w:outlineLvl w:val="3"/>
    </w:pPr>
    <w:rPr>
      <w:rFonts w:ascii="Times New Roman" w:eastAsia="Times New Roman" w:hAnsi="Times New Roman" w:cs="Times New Roman"/>
      <w:b/>
      <w:bCs/>
      <w:kern w:val="0"/>
      <w:sz w:val="24"/>
      <w:szCs w:val="24"/>
      <w:lang w:val="en-IL" w:eastAsia="en-IL"/>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2E2D45"/>
    <w:rPr>
      <w:rFonts w:ascii="Times New Roman" w:eastAsia="Times New Roman" w:hAnsi="Times New Roman" w:cs="Times New Roman"/>
      <w:b/>
      <w:bCs/>
      <w:kern w:val="0"/>
      <w:sz w:val="36"/>
      <w:szCs w:val="36"/>
      <w:lang w:val="en-IL" w:eastAsia="en-IL"/>
      <w14:ligatures w14:val="none"/>
    </w:rPr>
  </w:style>
  <w:style w:type="character" w:customStyle="1" w:styleId="40">
    <w:name w:val="כותרת 4 תו"/>
    <w:basedOn w:val="a0"/>
    <w:link w:val="4"/>
    <w:uiPriority w:val="9"/>
    <w:rsid w:val="002E2D45"/>
    <w:rPr>
      <w:rFonts w:ascii="Times New Roman" w:eastAsia="Times New Roman" w:hAnsi="Times New Roman" w:cs="Times New Roman"/>
      <w:b/>
      <w:bCs/>
      <w:kern w:val="0"/>
      <w:sz w:val="24"/>
      <w:szCs w:val="24"/>
      <w:lang w:val="en-IL" w:eastAsia="en-IL"/>
      <w14:ligatures w14:val="none"/>
    </w:rPr>
  </w:style>
  <w:style w:type="paragraph" w:styleId="NormalWeb">
    <w:name w:val="Normal (Web)"/>
    <w:basedOn w:val="a"/>
    <w:uiPriority w:val="99"/>
    <w:semiHidden/>
    <w:unhideWhenUsed/>
    <w:rsid w:val="002E2D45"/>
    <w:pPr>
      <w:bidi w:val="0"/>
      <w:spacing w:before="100" w:beforeAutospacing="1" w:after="100" w:afterAutospacing="1" w:line="240" w:lineRule="auto"/>
    </w:pPr>
    <w:rPr>
      <w:rFonts w:ascii="Times New Roman" w:eastAsia="Times New Roman" w:hAnsi="Times New Roman" w:cs="Times New Roman"/>
      <w:kern w:val="0"/>
      <w:sz w:val="24"/>
      <w:szCs w:val="24"/>
      <w:lang w:val="en-IL" w:eastAsia="en-IL"/>
      <w14:ligatures w14:val="none"/>
    </w:rPr>
  </w:style>
  <w:style w:type="character" w:styleId="Hyperlink">
    <w:name w:val="Hyperlink"/>
    <w:basedOn w:val="a0"/>
    <w:uiPriority w:val="99"/>
    <w:unhideWhenUsed/>
    <w:rsid w:val="002E2D45"/>
    <w:rPr>
      <w:color w:val="0000FF"/>
      <w:u w:val="single"/>
    </w:rPr>
  </w:style>
  <w:style w:type="character" w:styleId="a3">
    <w:name w:val="Strong"/>
    <w:basedOn w:val="a0"/>
    <w:uiPriority w:val="22"/>
    <w:qFormat/>
    <w:rsid w:val="002E2D45"/>
    <w:rPr>
      <w:b/>
      <w:bCs/>
    </w:rPr>
  </w:style>
  <w:style w:type="character" w:customStyle="1" w:styleId="super">
    <w:name w:val="super"/>
    <w:basedOn w:val="a0"/>
    <w:rsid w:val="002E2D45"/>
  </w:style>
  <w:style w:type="character" w:customStyle="1" w:styleId="10">
    <w:name w:val="כותרת 1 תו"/>
    <w:basedOn w:val="a0"/>
    <w:link w:val="1"/>
    <w:uiPriority w:val="9"/>
    <w:rsid w:val="00832C4C"/>
    <w:rPr>
      <w:rFonts w:asciiTheme="majorHAnsi" w:eastAsiaTheme="majorEastAsia" w:hAnsiTheme="majorHAnsi" w:cstheme="majorBidi"/>
      <w:color w:val="2F5496" w:themeColor="accent1" w:themeShade="BF"/>
      <w:sz w:val="32"/>
      <w:szCs w:val="32"/>
    </w:rPr>
  </w:style>
  <w:style w:type="character" w:styleId="a4">
    <w:name w:val="Unresolved Mention"/>
    <w:basedOn w:val="a0"/>
    <w:uiPriority w:val="99"/>
    <w:semiHidden/>
    <w:unhideWhenUsed/>
    <w:rsid w:val="00E41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029580">
      <w:bodyDiv w:val="1"/>
      <w:marLeft w:val="0"/>
      <w:marRight w:val="0"/>
      <w:marTop w:val="0"/>
      <w:marBottom w:val="0"/>
      <w:divBdr>
        <w:top w:val="none" w:sz="0" w:space="0" w:color="auto"/>
        <w:left w:val="none" w:sz="0" w:space="0" w:color="auto"/>
        <w:bottom w:val="none" w:sz="0" w:space="0" w:color="auto"/>
        <w:right w:val="none" w:sz="0" w:space="0" w:color="auto"/>
      </w:divBdr>
    </w:div>
    <w:div w:id="200770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igivac.com/product/high-capacity-diaphragm-pump-2067b-01-chemical-duty-pump/"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269</Words>
  <Characters>1538</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Shmuel Vandel</dc:creator>
  <cp:keywords/>
  <dc:description/>
  <cp:lastModifiedBy>Shmuel Vandel</cp:lastModifiedBy>
  <cp:revision>8</cp:revision>
  <dcterms:created xsi:type="dcterms:W3CDTF">2024-06-05T12:19:00Z</dcterms:created>
  <dcterms:modified xsi:type="dcterms:W3CDTF">2024-06-22T19:28:00Z</dcterms:modified>
</cp:coreProperties>
</file>